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BFCF1" w14:textId="16B816C2" w:rsidR="00AE0BDF" w:rsidRDefault="00AE0BDF" w:rsidP="00AE0BDF">
      <w:pPr>
        <w:pStyle w:val="Heading1Unnumbered"/>
        <w:spacing w:after="1200"/>
        <w:rPr>
          <w:b w:val="0"/>
          <w:bCs/>
          <w:i/>
          <w:iCs/>
          <w:sz w:val="32"/>
          <w:szCs w:val="32"/>
        </w:rPr>
      </w:pPr>
      <w:r>
        <w:t>Accessibility regulations: a tool for designing elderly-friendly cities</w:t>
      </w:r>
      <w:r w:rsidR="00BC6763">
        <w:t>?</w:t>
      </w:r>
      <w:bookmarkStart w:id="0" w:name="_GoBack"/>
      <w:bookmarkEnd w:id="0"/>
      <w:r>
        <w:t xml:space="preserve"> </w:t>
      </w:r>
      <w:r>
        <w:br/>
      </w:r>
      <w:r>
        <w:rPr>
          <w:b w:val="0"/>
          <w:bCs/>
          <w:i/>
          <w:iCs/>
          <w:sz w:val="24"/>
        </w:rPr>
        <w:t>Marion AILLOUD</w:t>
      </w:r>
      <w:r>
        <w:rPr>
          <w:rStyle w:val="Appelnotedebasdep"/>
          <w:b w:val="0"/>
          <w:bCs/>
          <w:i/>
          <w:iCs/>
          <w:sz w:val="24"/>
        </w:rPr>
        <w:footnoteReference w:id="1"/>
      </w:r>
      <w:r>
        <w:rPr>
          <w:b w:val="0"/>
          <w:bCs/>
          <w:i/>
          <w:iCs/>
          <w:sz w:val="24"/>
        </w:rPr>
        <w:t xml:space="preserve">, </w:t>
      </w:r>
      <w:proofErr w:type="spellStart"/>
      <w:r>
        <w:rPr>
          <w:b w:val="0"/>
          <w:bCs/>
          <w:i/>
          <w:iCs/>
          <w:sz w:val="24"/>
        </w:rPr>
        <w:t>Cerema</w:t>
      </w:r>
      <w:proofErr w:type="spellEnd"/>
      <w:r w:rsidRPr="00F62CEB">
        <w:rPr>
          <w:b w:val="0"/>
          <w:bCs/>
          <w:i/>
          <w:iCs/>
          <w:sz w:val="24"/>
        </w:rPr>
        <w:br/>
      </w:r>
      <w:r>
        <w:rPr>
          <w:b w:val="0"/>
          <w:bCs/>
          <w:i/>
          <w:iCs/>
          <w:sz w:val="24"/>
        </w:rPr>
        <w:t>Pauline GAUTHIER</w:t>
      </w:r>
      <w:r>
        <w:rPr>
          <w:rStyle w:val="Appelnotedebasdep"/>
          <w:b w:val="0"/>
          <w:bCs/>
          <w:i/>
          <w:iCs/>
          <w:sz w:val="24"/>
        </w:rPr>
        <w:footnoteReference w:id="2"/>
      </w:r>
      <w:r>
        <w:rPr>
          <w:b w:val="0"/>
          <w:bCs/>
          <w:i/>
          <w:iCs/>
          <w:sz w:val="24"/>
        </w:rPr>
        <w:t xml:space="preserve">, </w:t>
      </w:r>
      <w:proofErr w:type="spellStart"/>
      <w:r>
        <w:rPr>
          <w:b w:val="0"/>
          <w:bCs/>
          <w:i/>
          <w:iCs/>
          <w:sz w:val="24"/>
        </w:rPr>
        <w:t>Cerema</w:t>
      </w:r>
      <w:proofErr w:type="spellEnd"/>
    </w:p>
    <w:p w14:paraId="6CC82271" w14:textId="77777777" w:rsidR="00AE0BDF" w:rsidRPr="00122004" w:rsidRDefault="00AE0BDF" w:rsidP="00AE0BDF">
      <w:pPr>
        <w:pStyle w:val="BodyText1Paragraph"/>
        <w:rPr>
          <w:b/>
          <w:i/>
          <w:lang w:val="en-US"/>
        </w:rPr>
      </w:pPr>
      <w:proofErr w:type="gramStart"/>
      <w:r w:rsidRPr="00122004">
        <w:rPr>
          <w:b/>
          <w:i/>
          <w:lang w:val="en-US"/>
        </w:rPr>
        <w:t>Keywords :</w:t>
      </w:r>
      <w:proofErr w:type="gramEnd"/>
      <w:r w:rsidRPr="00122004">
        <w:rPr>
          <w:b/>
          <w:i/>
          <w:lang w:val="en-US"/>
        </w:rPr>
        <w:t xml:space="preserve"> </w:t>
      </w:r>
      <w:r w:rsidRPr="00122004">
        <w:rPr>
          <w:i/>
          <w:lang w:val="en-US"/>
        </w:rPr>
        <w:t xml:space="preserve">ageing, accessibility regulations, elderly </w:t>
      </w:r>
      <w:r>
        <w:rPr>
          <w:i/>
          <w:lang w:val="en-US"/>
        </w:rPr>
        <w:t>people, built environment</w:t>
      </w:r>
    </w:p>
    <w:p w14:paraId="54DE27C2" w14:textId="77777777" w:rsidR="00AE0BDF" w:rsidRPr="00061742" w:rsidRDefault="00AE0BDF" w:rsidP="00AE0BDF">
      <w:pPr>
        <w:pStyle w:val="BodyText"/>
        <w:rPr>
          <w:lang w:val="sv-SE"/>
        </w:rPr>
      </w:pPr>
    </w:p>
    <w:p w14:paraId="444AEF25" w14:textId="77777777" w:rsidR="00AE0BDF" w:rsidRPr="00AE0BDF" w:rsidRDefault="00AE0BDF" w:rsidP="00AE0BDF">
      <w:pPr>
        <w:pStyle w:val="BodyText"/>
        <w:rPr>
          <w:lang w:eastAsia="zh-CN"/>
        </w:rPr>
      </w:pPr>
    </w:p>
    <w:p w14:paraId="5A3217C3" w14:textId="77777777" w:rsidR="00AE0BDF" w:rsidRDefault="00AE0BDF" w:rsidP="00AE0BDF">
      <w:pPr>
        <w:pStyle w:val="BodyText1Paragraph"/>
        <w:rPr>
          <w:b/>
          <w:lang w:val="en-US"/>
        </w:rPr>
      </w:pPr>
      <w:r w:rsidRPr="00061742">
        <w:rPr>
          <w:b/>
          <w:lang w:val="en-US"/>
        </w:rPr>
        <w:t>Intr</w:t>
      </w:r>
      <w:r>
        <w:rPr>
          <w:b/>
          <w:lang w:val="en-US"/>
        </w:rPr>
        <w:t xml:space="preserve">oduction </w:t>
      </w:r>
    </w:p>
    <w:p w14:paraId="4EC681C2" w14:textId="44A34EBF" w:rsidR="00AE0BDF" w:rsidRDefault="00AE0BDF" w:rsidP="00AE0BDF">
      <w:pPr>
        <w:pStyle w:val="BodyText1Paragraph"/>
        <w:rPr>
          <w:rFonts w:cs="Liberation Sans"/>
        </w:rPr>
      </w:pPr>
      <w:r w:rsidRPr="00997DA3">
        <w:rPr>
          <w:rFonts w:cs="Liberation Sans"/>
        </w:rPr>
        <w:t xml:space="preserve">The WHO predicts that between 2015 and 2050 the proportion of people aged 60 and over worldwide will almost double, rising from 12% to 22%. </w:t>
      </w:r>
    </w:p>
    <w:p w14:paraId="4810C748" w14:textId="77777777" w:rsidR="00AE0BDF" w:rsidRPr="00AE0BDF" w:rsidRDefault="00AE0BDF" w:rsidP="00AE0BDF">
      <w:pPr>
        <w:pStyle w:val="BodyText"/>
      </w:pPr>
    </w:p>
    <w:p w14:paraId="306CDB3A" w14:textId="77777777" w:rsidR="00AE0BDF" w:rsidRDefault="00AE0BDF" w:rsidP="00AE0BDF">
      <w:pPr>
        <w:pStyle w:val="BodyText1Paragraph"/>
        <w:rPr>
          <w:b/>
          <w:lang w:val="en-US"/>
        </w:rPr>
      </w:pPr>
      <w:r w:rsidRPr="00061742">
        <w:rPr>
          <w:b/>
          <w:lang w:val="en-US"/>
        </w:rPr>
        <w:t>Bac</w:t>
      </w:r>
      <w:r>
        <w:rPr>
          <w:b/>
          <w:lang w:val="en-US"/>
        </w:rPr>
        <w:t>k</w:t>
      </w:r>
      <w:r w:rsidRPr="00061742">
        <w:rPr>
          <w:b/>
          <w:lang w:val="en-US"/>
        </w:rPr>
        <w:t>ground</w:t>
      </w:r>
    </w:p>
    <w:p w14:paraId="5B22FB30" w14:textId="46BA0373" w:rsidR="00AE0BDF" w:rsidRDefault="00AE0BDF" w:rsidP="00AE0BDF">
      <w:pPr>
        <w:pStyle w:val="BodyText1Paragraph"/>
        <w:rPr>
          <w:rFonts w:cs="Liberation Sans"/>
        </w:rPr>
      </w:pPr>
      <w:r w:rsidRPr="00997DA3">
        <w:rPr>
          <w:rFonts w:cs="Liberation Sans"/>
        </w:rPr>
        <w:t>Although disability-free life expectancy is increasing, limitations in physical, cognitive and perceptual abilities often go hand in hand with ageing.</w:t>
      </w:r>
    </w:p>
    <w:p w14:paraId="69233B00" w14:textId="77777777" w:rsidR="00AE0BDF" w:rsidRPr="00AE0BDF" w:rsidRDefault="00AE0BDF" w:rsidP="00AE0BDF">
      <w:pPr>
        <w:pStyle w:val="BodyText"/>
      </w:pPr>
    </w:p>
    <w:p w14:paraId="680B4656" w14:textId="77777777" w:rsidR="00AE0BDF" w:rsidRDefault="00AE0BDF" w:rsidP="00AE0BDF">
      <w:pPr>
        <w:pStyle w:val="BodyText1Paragraph"/>
        <w:rPr>
          <w:b/>
          <w:lang w:val="en-US"/>
        </w:rPr>
      </w:pPr>
      <w:r w:rsidRPr="00061742">
        <w:rPr>
          <w:b/>
          <w:lang w:val="en-US"/>
        </w:rPr>
        <w:t>Method</w:t>
      </w:r>
    </w:p>
    <w:p w14:paraId="139652A5" w14:textId="079B623E" w:rsidR="00AE0BDF" w:rsidRDefault="00AE0BDF" w:rsidP="00AE0BDF">
      <w:pPr>
        <w:pStyle w:val="BodyText1Paragraph"/>
        <w:rPr>
          <w:rFonts w:cs="Liberation Sans"/>
        </w:rPr>
      </w:pPr>
      <w:r>
        <w:rPr>
          <w:rFonts w:cs="Liberation Sans"/>
        </w:rPr>
        <w:t>A</w:t>
      </w:r>
      <w:r w:rsidRPr="00997DA3">
        <w:rPr>
          <w:rFonts w:cs="Liberation Sans"/>
        </w:rPr>
        <w:t xml:space="preserve"> comparative analysis between the requirements deriving from French accessibility regulations and the main needs of older people highlights a number of points of convergence</w:t>
      </w:r>
      <w:r>
        <w:rPr>
          <w:rFonts w:cs="Liberation Sans"/>
        </w:rPr>
        <w:t>.</w:t>
      </w:r>
    </w:p>
    <w:p w14:paraId="6F14A5EF" w14:textId="77777777" w:rsidR="00AE0BDF" w:rsidRPr="00AE0BDF" w:rsidRDefault="00AE0BDF" w:rsidP="00AE0BDF">
      <w:pPr>
        <w:pStyle w:val="BodyText"/>
      </w:pPr>
    </w:p>
    <w:p w14:paraId="08ED5205" w14:textId="77777777" w:rsidR="00AE0BDF" w:rsidRDefault="00AE0BDF" w:rsidP="00AE0BDF">
      <w:pPr>
        <w:pStyle w:val="BodyText1Paragraph"/>
        <w:rPr>
          <w:b/>
          <w:lang w:val="en-US"/>
        </w:rPr>
      </w:pPr>
      <w:r w:rsidRPr="00997DA3">
        <w:rPr>
          <w:b/>
          <w:lang w:val="en-US"/>
        </w:rPr>
        <w:t>Results</w:t>
      </w:r>
    </w:p>
    <w:p w14:paraId="137047A3" w14:textId="77777777" w:rsidR="00AE0BDF" w:rsidRDefault="00AE0BDF" w:rsidP="00AE0BDF">
      <w:pPr>
        <w:pStyle w:val="BodyText1Paragraph"/>
        <w:rPr>
          <w:rFonts w:cs="Liberation Sans"/>
        </w:rPr>
      </w:pPr>
      <w:r w:rsidRPr="00997DA3">
        <w:rPr>
          <w:rFonts w:cs="Liberation Sans"/>
        </w:rPr>
        <w:t xml:space="preserve">Regulatory requirements such as the dimensional characteristics of navigation paths and the quality of surface coverings facilitate the movements of the elderly and make them safer. In addition, in the face of difficulties in standing and problems with balance, particular care is required to ensure that the amenity provides supports. </w:t>
      </w:r>
    </w:p>
    <w:p w14:paraId="5578E612" w14:textId="062EB19F" w:rsidR="00AE0BDF" w:rsidRDefault="00AE0BDF" w:rsidP="00AE0BDF">
      <w:pPr>
        <w:pStyle w:val="BodyText1Paragraph"/>
        <w:rPr>
          <w:rFonts w:cs="Liberation Sans"/>
        </w:rPr>
      </w:pPr>
      <w:r w:rsidRPr="00997DA3">
        <w:rPr>
          <w:rFonts w:cs="Liberation Sans"/>
        </w:rPr>
        <w:t xml:space="preserve">Requirements concerning the quality of lighting, consideration of visual and tactile contrasts and the marking of crossings on public spaces make it easier for older people to find where they are and move around. Similarly, accessibility requirements for signage are also fundamental. </w:t>
      </w:r>
    </w:p>
    <w:p w14:paraId="4860D489" w14:textId="77777777" w:rsidR="00AE0BDF" w:rsidRPr="00AE0BDF" w:rsidRDefault="00AE0BDF" w:rsidP="00AE0BDF">
      <w:pPr>
        <w:pStyle w:val="BodyText"/>
      </w:pPr>
    </w:p>
    <w:p w14:paraId="1A1F20AD" w14:textId="77777777" w:rsidR="00AE0BDF" w:rsidRPr="00997DA3" w:rsidRDefault="00AE0BDF" w:rsidP="00AE0BDF">
      <w:pPr>
        <w:pStyle w:val="BodyText1Paragraph"/>
        <w:rPr>
          <w:b/>
          <w:lang w:val="en-US"/>
        </w:rPr>
      </w:pPr>
      <w:r w:rsidRPr="00997DA3">
        <w:rPr>
          <w:b/>
          <w:lang w:val="en-US"/>
        </w:rPr>
        <w:t>Conclusion</w:t>
      </w:r>
    </w:p>
    <w:p w14:paraId="3735420C" w14:textId="77777777" w:rsidR="00AE0BDF" w:rsidRDefault="00AE0BDF" w:rsidP="00AE0BDF">
      <w:pPr>
        <w:pStyle w:val="BodyText1Paragraph"/>
        <w:rPr>
          <w:rFonts w:cs="Liberation Sans"/>
        </w:rPr>
      </w:pPr>
      <w:proofErr w:type="gramStart"/>
      <w:r w:rsidRPr="00997DA3">
        <w:rPr>
          <w:rFonts w:cs="Liberation Sans"/>
        </w:rPr>
        <w:t>Taking accessibility into account</w:t>
      </w:r>
      <w:proofErr w:type="gramEnd"/>
      <w:r w:rsidRPr="00997DA3">
        <w:rPr>
          <w:rFonts w:cs="Liberation Sans"/>
        </w:rPr>
        <w:t>, whether in public spaces, buildings or transport, is a key factor in enabling and facilitating people’s mobility and therefore, more broadly, remaining independent and continuing to participate in social life.</w:t>
      </w:r>
    </w:p>
    <w:p w14:paraId="11339EDA" w14:textId="77777777" w:rsidR="00AE0BDF" w:rsidRPr="00061742" w:rsidRDefault="00AE0BDF" w:rsidP="00AE0BDF">
      <w:pPr>
        <w:pStyle w:val="BodyText1Paragraph"/>
        <w:rPr>
          <w:lang w:val="sv-SE"/>
        </w:rPr>
      </w:pPr>
      <w:r w:rsidRPr="00997DA3">
        <w:rPr>
          <w:rFonts w:cs="Liberation Sans"/>
        </w:rPr>
        <w:lastRenderedPageBreak/>
        <w:t xml:space="preserve">However, it appears that further action is required to adapt the facilities and organisation in towns to ageing users. In particular, difficulty in walking long distances or standing for long </w:t>
      </w:r>
      <w:proofErr w:type="gramStart"/>
      <w:r w:rsidRPr="00997DA3">
        <w:rPr>
          <w:rFonts w:cs="Liberation Sans"/>
        </w:rPr>
        <w:t>periods of time</w:t>
      </w:r>
      <w:proofErr w:type="gramEnd"/>
      <w:r w:rsidRPr="00997DA3">
        <w:rPr>
          <w:rFonts w:cs="Liberation Sans"/>
        </w:rPr>
        <w:t xml:space="preserve"> makes seating essential for older people. Implementing additional measures as part of the design of intersections and crossings is also a particularly important point in order to reduce accidents among older pedestrians. Finally, the maintenance of outdoor spaces is also an important factor in terms of safety and travel comfort, as is the presence of sanitary facilities.</w:t>
      </w:r>
    </w:p>
    <w:sectPr w:rsidR="00AE0BDF" w:rsidRPr="00061742" w:rsidSect="00061742">
      <w:headerReference w:type="default" r:id="rId8"/>
      <w:footerReference w:type="default" r:id="rId9"/>
      <w:headerReference w:type="first" r:id="rId10"/>
      <w:footerReference w:type="first" r:id="rId11"/>
      <w:pgSz w:w="11906" w:h="16838" w:code="9"/>
      <w:pgMar w:top="1440" w:right="1440" w:bottom="1440" w:left="1440" w:header="96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176A" w14:textId="77777777" w:rsidR="00FB7D08" w:rsidRDefault="00FB7D08">
      <w:r>
        <w:separator/>
      </w:r>
    </w:p>
  </w:endnote>
  <w:endnote w:type="continuationSeparator" w:id="0">
    <w:p w14:paraId="4858C00C" w14:textId="77777777" w:rsidR="00FB7D08" w:rsidRDefault="00FB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56E1" w14:textId="2DA7371C" w:rsidR="00F62CEB" w:rsidRDefault="00F62CEB">
    <w:pPr>
      <w:pStyle w:val="Pieddepage"/>
    </w:pPr>
    <w:r>
      <w:rPr>
        <w:noProof/>
        <w:sz w:val="2"/>
        <w:szCs w:val="2"/>
        <w:lang w:val="fr-FR" w:eastAsia="fr-FR"/>
      </w:rPr>
      <w:drawing>
        <wp:anchor distT="0" distB="0" distL="114300" distR="114300" simplePos="0" relativeHeight="251663360" behindDoc="0" locked="0" layoutInCell="1" allowOverlap="1" wp14:anchorId="02F9F34F" wp14:editId="6086DB9A">
          <wp:simplePos x="0" y="0"/>
          <wp:positionH relativeFrom="column">
            <wp:posOffset>0</wp:posOffset>
          </wp:positionH>
          <wp:positionV relativeFrom="paragraph">
            <wp:posOffset>-425450</wp:posOffset>
          </wp:positionV>
          <wp:extent cx="2315308" cy="87726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308" cy="87726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C6CA" w14:textId="77777777" w:rsidR="00EB1192" w:rsidRPr="009D1F5E" w:rsidRDefault="005530B4">
    <w:pPr>
      <w:pStyle w:val="Pieddepage"/>
      <w:rPr>
        <w:sz w:val="2"/>
        <w:szCs w:val="2"/>
      </w:rPr>
    </w:pPr>
    <w:r>
      <w:rPr>
        <w:noProof/>
        <w:sz w:val="2"/>
        <w:szCs w:val="2"/>
        <w:lang w:val="fr-FR" w:eastAsia="fr-FR"/>
      </w:rPr>
      <w:drawing>
        <wp:anchor distT="0" distB="0" distL="114300" distR="114300" simplePos="0" relativeHeight="251660288" behindDoc="0" locked="0" layoutInCell="1" allowOverlap="1" wp14:anchorId="5EA0860E" wp14:editId="4F43C32B">
          <wp:simplePos x="0" y="0"/>
          <wp:positionH relativeFrom="column">
            <wp:posOffset>-222250</wp:posOffset>
          </wp:positionH>
          <wp:positionV relativeFrom="paragraph">
            <wp:posOffset>-541020</wp:posOffset>
          </wp:positionV>
          <wp:extent cx="2315308" cy="87726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308" cy="877267"/>
                  </a:xfrm>
                  <a:prstGeom prst="rect">
                    <a:avLst/>
                  </a:prstGeom>
                  <a:noFill/>
                </pic:spPr>
              </pic:pic>
            </a:graphicData>
          </a:graphic>
          <wp14:sizeRelH relativeFrom="page">
            <wp14:pctWidth>0</wp14:pctWidth>
          </wp14:sizeRelH>
          <wp14:sizeRelV relativeFrom="page">
            <wp14:pctHeight>0</wp14:pctHeight>
          </wp14:sizeRelV>
        </wp:anchor>
      </w:drawing>
    </w:r>
    <w:r w:rsidR="00D20B06" w:rsidRPr="00D20B06">
      <w:rPr>
        <w:noProof/>
        <w:sz w:val="2"/>
        <w:szCs w:val="2"/>
        <w:lang w:val="fr-FR" w:eastAsia="fr-FR"/>
      </w:rPr>
      <mc:AlternateContent>
        <mc:Choice Requires="wps">
          <w:drawing>
            <wp:anchor distT="45720" distB="45720" distL="114300" distR="114300" simplePos="0" relativeHeight="251659264" behindDoc="0" locked="0" layoutInCell="1" allowOverlap="1" wp14:anchorId="75A31AAA" wp14:editId="0D42E7FE">
              <wp:simplePos x="0" y="0"/>
              <wp:positionH relativeFrom="column">
                <wp:posOffset>-598170</wp:posOffset>
              </wp:positionH>
              <wp:positionV relativeFrom="paragraph">
                <wp:posOffset>-370596</wp:posOffset>
              </wp:positionV>
              <wp:extent cx="7004050" cy="1404620"/>
              <wp:effectExtent l="0" t="0" r="254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1404620"/>
                      </a:xfrm>
                      <a:prstGeom prst="rect">
                        <a:avLst/>
                      </a:prstGeom>
                      <a:solidFill>
                        <a:srgbClr val="FFFFFF"/>
                      </a:solidFill>
                      <a:ln w="9525">
                        <a:solidFill>
                          <a:schemeClr val="bg1"/>
                        </a:solidFill>
                        <a:miter lim="800000"/>
                        <a:headEnd/>
                        <a:tailEnd/>
                      </a:ln>
                    </wps:spPr>
                    <wps:txbx>
                      <w:txbxContent>
                        <w:p w14:paraId="5ACAB50B" w14:textId="77777777" w:rsidR="00D20B06" w:rsidRPr="005530B4" w:rsidRDefault="00D20B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A31AAA" id="_x0000_t202" coordsize="21600,21600" o:spt="202" path="m,l,21600r21600,l21600,xe">
              <v:stroke joinstyle="miter"/>
              <v:path gradientshapeok="t" o:connecttype="rect"/>
            </v:shapetype>
            <v:shape id="Text Box 2" o:spid="_x0000_s1026" type="#_x0000_t202" style="position:absolute;margin-left:-47.1pt;margin-top:-29.2pt;width:55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" strokecolor="white [3212]">
              <v:textbox style="mso-fit-shape-to-text:t">
                <w:txbxContent>
                  <w:p w14:paraId="5ACAB50B" w14:textId="77777777" w:rsidR="00D20B06" w:rsidRPr="005530B4" w:rsidRDefault="00D20B06"/>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7388C" w14:textId="77777777" w:rsidR="00FB7D08" w:rsidRDefault="00FB7D08">
      <w:r>
        <w:separator/>
      </w:r>
    </w:p>
  </w:footnote>
  <w:footnote w:type="continuationSeparator" w:id="0">
    <w:p w14:paraId="73C2096B" w14:textId="77777777" w:rsidR="00FB7D08" w:rsidRDefault="00FB7D08">
      <w:r>
        <w:continuationSeparator/>
      </w:r>
    </w:p>
  </w:footnote>
  <w:footnote w:id="1">
    <w:p w14:paraId="18B3A20A" w14:textId="68A098A5" w:rsidR="00AE0BDF" w:rsidRPr="00321C4A" w:rsidRDefault="00AE0BDF" w:rsidP="00AE0BDF">
      <w:pPr>
        <w:pStyle w:val="Notedebasdepage"/>
        <w:rPr>
          <w:lang w:val="fr-FR"/>
        </w:rPr>
      </w:pPr>
      <w:r>
        <w:rPr>
          <w:rStyle w:val="Appelnotedebasdep"/>
        </w:rPr>
        <w:footnoteRef/>
      </w:r>
      <w:r>
        <w:t xml:space="preserve"> </w:t>
      </w:r>
      <w:hyperlink r:id="rId1" w:history="1">
        <w:r w:rsidRPr="005865F0">
          <w:rPr>
            <w:rStyle w:val="Lienhypertexte"/>
            <w:lang w:val="fr-FR"/>
          </w:rPr>
          <w:t>marion.ailloud@cerema.fr</w:t>
        </w:r>
      </w:hyperlink>
      <w:r>
        <w:rPr>
          <w:lang w:val="fr-FR"/>
        </w:rPr>
        <w:t>, France</w:t>
      </w:r>
    </w:p>
  </w:footnote>
  <w:footnote w:id="2">
    <w:p w14:paraId="3E5C101B" w14:textId="366D827A" w:rsidR="00AE0BDF" w:rsidRPr="00321C4A" w:rsidRDefault="00AE0BDF" w:rsidP="00AE0BDF">
      <w:pPr>
        <w:pStyle w:val="Notedebasdepage"/>
        <w:rPr>
          <w:lang w:val="fr-FR"/>
        </w:rPr>
      </w:pPr>
      <w:r>
        <w:rPr>
          <w:rStyle w:val="Appelnotedebasdep"/>
        </w:rPr>
        <w:footnoteRef/>
      </w:r>
      <w:r>
        <w:t xml:space="preserve"> </w:t>
      </w:r>
      <w:hyperlink r:id="rId2" w:history="1">
        <w:r w:rsidRPr="005865F0">
          <w:rPr>
            <w:rStyle w:val="Lienhypertexte"/>
            <w:lang w:val="fr-FR"/>
          </w:rPr>
          <w:t>pauline.gauthier@cerema.fr</w:t>
        </w:r>
      </w:hyperlink>
      <w:r>
        <w:rPr>
          <w:lang w:val="fr-FR"/>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230"/>
      <w:gridCol w:w="594"/>
      <w:gridCol w:w="1304"/>
      <w:gridCol w:w="772"/>
    </w:tblGrid>
    <w:tr w:rsidR="00EB1192" w:rsidRPr="00681162" w14:paraId="2EE14E8B" w14:textId="77777777" w:rsidTr="00F62CEB">
      <w:trPr>
        <w:cantSplit/>
      </w:trPr>
      <w:tc>
        <w:tcPr>
          <w:tcW w:w="7230" w:type="dxa"/>
          <w:vMerge w:val="restart"/>
        </w:tcPr>
        <w:p w14:paraId="68D9029F" w14:textId="77777777" w:rsidR="00F62CEB" w:rsidRDefault="00F62CEB" w:rsidP="00F62CEB">
          <w:r w:rsidRPr="006344CD">
            <w:rPr>
              <w:b/>
            </w:rPr>
            <w:t>UD202</w:t>
          </w:r>
          <w:r>
            <w:rPr>
              <w:b/>
            </w:rPr>
            <w:t>1</w:t>
          </w:r>
          <w:r w:rsidRPr="006344CD">
            <w:rPr>
              <w:b/>
            </w:rPr>
            <w:t xml:space="preserve"> </w:t>
          </w:r>
          <w:r>
            <w:rPr>
              <w:b/>
            </w:rPr>
            <w:t>I</w:t>
          </w:r>
          <w:r>
            <w:t xml:space="preserve">nternational conference on Universal Design, </w:t>
          </w:r>
        </w:p>
        <w:p w14:paraId="68467982" w14:textId="77777777" w:rsidR="00F62CEB" w:rsidRDefault="00F62CEB" w:rsidP="00F62CEB">
          <w:r>
            <w:t>Aalto University, Finland, June 9</w:t>
          </w:r>
          <w:r w:rsidRPr="00D20B06">
            <w:rPr>
              <w:vertAlign w:val="superscript"/>
            </w:rPr>
            <w:t>th</w:t>
          </w:r>
          <w:r>
            <w:t xml:space="preserve"> to 11</w:t>
          </w:r>
          <w:r w:rsidRPr="00D20B06">
            <w:rPr>
              <w:vertAlign w:val="superscript"/>
            </w:rPr>
            <w:t>th</w:t>
          </w:r>
          <w:r>
            <w:t xml:space="preserve"> 2021</w:t>
          </w:r>
        </w:p>
        <w:p w14:paraId="7A7D60ED" w14:textId="59704958" w:rsidR="00EB1192" w:rsidRPr="00C517EA" w:rsidRDefault="00EB1192" w:rsidP="00C517EA">
          <w:pPr>
            <w:rPr>
              <w:noProof/>
            </w:rPr>
          </w:pPr>
        </w:p>
      </w:tc>
      <w:tc>
        <w:tcPr>
          <w:tcW w:w="594" w:type="dxa"/>
        </w:tcPr>
        <w:p w14:paraId="36FC5A7C" w14:textId="73533049" w:rsidR="00EB1192" w:rsidRPr="00EB1192" w:rsidRDefault="00EB1192" w:rsidP="00EB1192">
          <w:pPr>
            <w:pStyle w:val="En-tte"/>
            <w:rPr>
              <w:b/>
            </w:rPr>
          </w:pPr>
        </w:p>
      </w:tc>
      <w:tc>
        <w:tcPr>
          <w:tcW w:w="1304" w:type="dxa"/>
        </w:tcPr>
        <w:p w14:paraId="0A282097" w14:textId="30EC2881" w:rsidR="00EB1192" w:rsidRPr="00EB1192" w:rsidRDefault="00EB1192" w:rsidP="00EB1192">
          <w:pPr>
            <w:pStyle w:val="En-tte"/>
          </w:pPr>
        </w:p>
      </w:tc>
      <w:tc>
        <w:tcPr>
          <w:tcW w:w="772" w:type="dxa"/>
        </w:tcPr>
        <w:p w14:paraId="4076F6A7" w14:textId="7DA9B531" w:rsidR="00EB1192" w:rsidRPr="00EB1192" w:rsidRDefault="00EB1192" w:rsidP="00EB1192">
          <w:pPr>
            <w:pStyle w:val="En-tte"/>
          </w:pPr>
        </w:p>
      </w:tc>
    </w:tr>
    <w:tr w:rsidR="00EB1192" w:rsidRPr="00681162" w14:paraId="5212ADCC" w14:textId="77777777" w:rsidTr="00F62CEB">
      <w:trPr>
        <w:cantSplit/>
      </w:trPr>
      <w:tc>
        <w:tcPr>
          <w:tcW w:w="7230" w:type="dxa"/>
          <w:vMerge/>
        </w:tcPr>
        <w:p w14:paraId="148EF73A" w14:textId="77777777" w:rsidR="00EB1192" w:rsidRPr="00681162" w:rsidRDefault="00EB1192" w:rsidP="003D2396">
          <w:pPr>
            <w:pStyle w:val="En-tte"/>
            <w:rPr>
              <w:noProof/>
              <w:szCs w:val="18"/>
            </w:rPr>
          </w:pPr>
        </w:p>
      </w:tc>
      <w:tc>
        <w:tcPr>
          <w:tcW w:w="594" w:type="dxa"/>
        </w:tcPr>
        <w:p w14:paraId="4BAF1F8C" w14:textId="67B1E51C" w:rsidR="00EB1192" w:rsidRPr="00EB1192" w:rsidRDefault="00EB1192" w:rsidP="00EB1192">
          <w:pPr>
            <w:pStyle w:val="En-tte"/>
          </w:pPr>
        </w:p>
      </w:tc>
      <w:tc>
        <w:tcPr>
          <w:tcW w:w="2076" w:type="dxa"/>
          <w:gridSpan w:val="2"/>
        </w:tcPr>
        <w:p w14:paraId="185A0F89" w14:textId="1376CD16" w:rsidR="00EB1192" w:rsidRPr="00EB1192" w:rsidRDefault="00EB1192" w:rsidP="00EB1192">
          <w:pPr>
            <w:pStyle w:val="En-tte"/>
          </w:pPr>
        </w:p>
      </w:tc>
    </w:tr>
    <w:tr w:rsidR="00EB1192" w:rsidRPr="00681162" w14:paraId="4D4ADCEB" w14:textId="77777777" w:rsidTr="00F62CEB">
      <w:trPr>
        <w:cantSplit/>
      </w:trPr>
      <w:tc>
        <w:tcPr>
          <w:tcW w:w="7230" w:type="dxa"/>
          <w:vMerge/>
        </w:tcPr>
        <w:p w14:paraId="31A23956" w14:textId="77777777" w:rsidR="00EB1192" w:rsidRPr="00681162" w:rsidRDefault="00EB1192" w:rsidP="003D2396">
          <w:pPr>
            <w:pStyle w:val="En-tte"/>
            <w:rPr>
              <w:noProof/>
              <w:szCs w:val="18"/>
            </w:rPr>
          </w:pPr>
        </w:p>
      </w:tc>
      <w:tc>
        <w:tcPr>
          <w:tcW w:w="594" w:type="dxa"/>
        </w:tcPr>
        <w:p w14:paraId="377E63FF" w14:textId="16E389D0" w:rsidR="00EB1192" w:rsidRPr="00EB1192" w:rsidRDefault="00EB1192" w:rsidP="00EB1192">
          <w:pPr>
            <w:pStyle w:val="En-tte"/>
          </w:pPr>
        </w:p>
      </w:tc>
      <w:tc>
        <w:tcPr>
          <w:tcW w:w="2076" w:type="dxa"/>
          <w:gridSpan w:val="2"/>
        </w:tcPr>
        <w:p w14:paraId="06CEF99E" w14:textId="2EAF51D8" w:rsidR="00EB1192" w:rsidRPr="00EB1192" w:rsidRDefault="00EB1192" w:rsidP="00EB1192">
          <w:pPr>
            <w:pStyle w:val="En-tte"/>
          </w:pPr>
        </w:p>
      </w:tc>
    </w:tr>
    <w:tr w:rsidR="00EB1192" w:rsidRPr="00681162" w14:paraId="71891F41" w14:textId="77777777" w:rsidTr="00F62CEB">
      <w:trPr>
        <w:cantSplit/>
      </w:trPr>
      <w:tc>
        <w:tcPr>
          <w:tcW w:w="7230" w:type="dxa"/>
          <w:vMerge/>
        </w:tcPr>
        <w:p w14:paraId="4C09F7E4" w14:textId="77777777" w:rsidR="00EB1192" w:rsidRPr="00681162" w:rsidRDefault="00EB1192" w:rsidP="003D2396">
          <w:pPr>
            <w:pStyle w:val="En-tte"/>
            <w:rPr>
              <w:noProof/>
              <w:szCs w:val="18"/>
            </w:rPr>
          </w:pPr>
        </w:p>
      </w:tc>
      <w:tc>
        <w:tcPr>
          <w:tcW w:w="594" w:type="dxa"/>
        </w:tcPr>
        <w:p w14:paraId="3577BB79" w14:textId="299BDD08" w:rsidR="00EB1192" w:rsidRPr="00EB1192" w:rsidRDefault="00EB1192" w:rsidP="00EB1192">
          <w:pPr>
            <w:pStyle w:val="En-tte"/>
          </w:pPr>
        </w:p>
      </w:tc>
      <w:tc>
        <w:tcPr>
          <w:tcW w:w="2076" w:type="dxa"/>
          <w:gridSpan w:val="2"/>
        </w:tcPr>
        <w:p w14:paraId="4D5FDC09" w14:textId="322AA8D6" w:rsidR="00EB1192" w:rsidRPr="00EB1192" w:rsidRDefault="00EB1192" w:rsidP="00EB1192">
          <w:pPr>
            <w:pStyle w:val="En-tte"/>
          </w:pPr>
        </w:p>
      </w:tc>
    </w:tr>
  </w:tbl>
  <w:p w14:paraId="34810696" w14:textId="41F7F34A" w:rsidR="00EB1192" w:rsidRDefault="00EB1192" w:rsidP="003D2396">
    <w:pPr>
      <w:pStyle w:val="En-tte"/>
      <w:rPr>
        <w:noProof/>
        <w:sz w:val="2"/>
        <w:szCs w:val="2"/>
      </w:rPr>
    </w:pPr>
  </w:p>
  <w:p w14:paraId="54E679A3" w14:textId="77777777" w:rsidR="00EB1192" w:rsidRPr="0077050C" w:rsidRDefault="00EB1192" w:rsidP="003D2396">
    <w:pPr>
      <w:pStyle w:val="En-tt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A74C" w14:textId="440C7E5B" w:rsidR="006344CD" w:rsidRDefault="00F62CEB" w:rsidP="006344CD">
    <w:r>
      <w:rPr>
        <w:noProof/>
        <w:lang w:val="fr-FR" w:eastAsia="fr-FR"/>
      </w:rPr>
      <w:drawing>
        <wp:anchor distT="0" distB="0" distL="114300" distR="114300" simplePos="0" relativeHeight="251661312" behindDoc="0" locked="0" layoutInCell="1" allowOverlap="1" wp14:anchorId="17CBBBBA" wp14:editId="6B6E330F">
          <wp:simplePos x="0" y="0"/>
          <wp:positionH relativeFrom="column">
            <wp:posOffset>5340350</wp:posOffset>
          </wp:positionH>
          <wp:positionV relativeFrom="paragraph">
            <wp:posOffset>-212090</wp:posOffset>
          </wp:positionV>
          <wp:extent cx="889000" cy="819150"/>
          <wp:effectExtent l="0" t="0" r="6350" b="0"/>
          <wp:wrapNone/>
          <wp:docPr id="1" name="Picture 1" descr="Fifth International Conference on Universa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th International Conference on Universal Design"/>
                  <pic:cNvPicPr>
                    <a:picLocks noChangeAspect="1" noChangeArrowheads="1"/>
                  </pic:cNvPicPr>
                </pic:nvPicPr>
                <pic:blipFill rotWithShape="1">
                  <a:blip r:embed="rId1">
                    <a:extLst>
                      <a:ext uri="{28A0092B-C50C-407E-A947-70E740481C1C}">
                        <a14:useLocalDpi xmlns:a14="http://schemas.microsoft.com/office/drawing/2010/main" val="0"/>
                      </a:ext>
                    </a:extLst>
                  </a:blip>
                  <a:srcRect r="59331"/>
                  <a:stretch/>
                </pic:blipFill>
                <pic:spPr bwMode="auto">
                  <a:xfrm>
                    <a:off x="0" y="0"/>
                    <a:ext cx="889000" cy="819150"/>
                  </a:xfrm>
                  <a:prstGeom prst="rect">
                    <a:avLst/>
                  </a:prstGeom>
                  <a:noFill/>
                  <a:ln>
                    <a:noFill/>
                  </a:ln>
                  <a:extLst>
                    <a:ext uri="{53640926-AAD7-44D8-BBD7-CCE9431645EC}">
                      <a14:shadowObscured xmlns:a14="http://schemas.microsoft.com/office/drawing/2010/main"/>
                    </a:ext>
                  </a:extLst>
                </pic:spPr>
              </pic:pic>
            </a:graphicData>
          </a:graphic>
        </wp:anchor>
      </w:drawing>
    </w:r>
    <w:r w:rsidR="005530B4" w:rsidRPr="006344CD">
      <w:rPr>
        <w:b/>
      </w:rPr>
      <w:t xml:space="preserve"> </w:t>
    </w:r>
    <w:r w:rsidR="006344CD" w:rsidRPr="006344CD">
      <w:rPr>
        <w:b/>
      </w:rPr>
      <w:t>UD202</w:t>
    </w:r>
    <w:r w:rsidR="0072773B">
      <w:rPr>
        <w:b/>
      </w:rPr>
      <w:t>1</w:t>
    </w:r>
    <w:r w:rsidR="006344CD" w:rsidRPr="006344CD">
      <w:rPr>
        <w:b/>
      </w:rPr>
      <w:t xml:space="preserve"> </w:t>
    </w:r>
    <w:r w:rsidR="006344CD">
      <w:rPr>
        <w:b/>
      </w:rPr>
      <w:t>I</w:t>
    </w:r>
    <w:r w:rsidR="005530B4">
      <w:t>nternational conference on Un</w:t>
    </w:r>
    <w:r w:rsidR="006344CD">
      <w:t>i</w:t>
    </w:r>
    <w:r w:rsidR="005530B4">
      <w:t xml:space="preserve">versal Design, </w:t>
    </w:r>
  </w:p>
  <w:p w14:paraId="7DFAD7BC" w14:textId="10B2332D" w:rsidR="005530B4" w:rsidRDefault="005530B4" w:rsidP="006344CD">
    <w:r>
      <w:t>Aalto University, Finland</w:t>
    </w:r>
    <w:r w:rsidR="006344CD">
      <w:t xml:space="preserve">, </w:t>
    </w:r>
    <w:r>
      <w:t xml:space="preserve">June </w:t>
    </w:r>
    <w:r w:rsidR="0072773B">
      <w:t>9</w:t>
    </w:r>
    <w:r w:rsidRPr="00D20B06">
      <w:rPr>
        <w:vertAlign w:val="superscript"/>
      </w:rPr>
      <w:t>th</w:t>
    </w:r>
    <w:r>
      <w:t xml:space="preserve"> to 1</w:t>
    </w:r>
    <w:r w:rsidR="0072773B">
      <w:t>1</w:t>
    </w:r>
    <w:r w:rsidRPr="00D20B06">
      <w:rPr>
        <w:vertAlign w:val="superscript"/>
      </w:rPr>
      <w:t>th</w:t>
    </w:r>
    <w:r>
      <w:t xml:space="preserve"> 202</w:t>
    </w:r>
    <w:r w:rsidR="0072773B">
      <w:t>1</w:t>
    </w:r>
  </w:p>
  <w:p w14:paraId="1B33524B" w14:textId="77777777" w:rsidR="006344CD" w:rsidRDefault="006344CD" w:rsidP="006344CD"/>
  <w:p w14:paraId="1AE8B8A0" w14:textId="77777777" w:rsidR="006344CD" w:rsidRPr="005530B4" w:rsidRDefault="006344CD" w:rsidP="006344CD"/>
  <w:p w14:paraId="6CFFA07F" w14:textId="77777777" w:rsidR="00EB1192" w:rsidRDefault="00EB1192" w:rsidP="00AD05DB">
    <w:pPr>
      <w:pStyle w:val="En-tte"/>
      <w:rPr>
        <w:noProof/>
        <w:sz w:val="2"/>
        <w:szCs w:val="2"/>
      </w:rPr>
    </w:pPr>
  </w:p>
  <w:p w14:paraId="25BD2831" w14:textId="77777777" w:rsidR="00EB1192" w:rsidRDefault="00EB1192">
    <w:pPr>
      <w:framePr w:hSpace="141" w:wrap="around" w:vAnchor="page" w:hAnchor="page" w:x="1248" w:y="1248"/>
      <w:rPr>
        <w:noProof/>
      </w:rPr>
    </w:pPr>
  </w:p>
  <w:p w14:paraId="64BBA39C" w14:textId="77777777" w:rsidR="00EB1192" w:rsidRPr="00AD05DB" w:rsidRDefault="00EB1192" w:rsidP="00AD05DB">
    <w:pPr>
      <w:pStyle w:val="En-tte"/>
      <w:rPr>
        <w:noProof/>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A927C35"/>
    <w:multiLevelType w:val="multilevel"/>
    <w:tmpl w:val="FAB0B544"/>
    <w:lvl w:ilvl="0">
      <w:start w:val="1"/>
      <w:numFmt w:val="decimal"/>
      <w:pStyle w:val="Titre1"/>
      <w:suff w:val="space"/>
      <w:lvlText w:val="%1 "/>
      <w:lvlJc w:val="left"/>
      <w:pPr>
        <w:tabs>
          <w:tab w:val="num" w:pos="0"/>
        </w:tabs>
        <w:ind w:left="0" w:firstLine="0"/>
      </w:pPr>
      <w:rPr>
        <w:rFonts w:hint="default"/>
      </w:rPr>
    </w:lvl>
    <w:lvl w:ilvl="1">
      <w:start w:val="1"/>
      <w:numFmt w:val="decimal"/>
      <w:pStyle w:val="Titre2"/>
      <w:suff w:val="space"/>
      <w:lvlText w:val="%1.%2 "/>
      <w:lvlJc w:val="left"/>
      <w:pPr>
        <w:tabs>
          <w:tab w:val="num" w:pos="0"/>
        </w:tabs>
        <w:ind w:left="0" w:firstLine="0"/>
      </w:pPr>
      <w:rPr>
        <w:rFonts w:hint="default"/>
      </w:rPr>
    </w:lvl>
    <w:lvl w:ilvl="2">
      <w:start w:val="1"/>
      <w:numFmt w:val="decimal"/>
      <w:pStyle w:val="Titre3"/>
      <w:suff w:val="space"/>
      <w:lvlText w:val="%1.%2.%3 "/>
      <w:lvlJc w:val="left"/>
      <w:pPr>
        <w:tabs>
          <w:tab w:val="num" w:pos="0"/>
        </w:tabs>
        <w:ind w:left="0" w:firstLine="0"/>
      </w:pPr>
      <w:rPr>
        <w:rFonts w:hint="default"/>
      </w:rPr>
    </w:lvl>
    <w:lvl w:ilvl="3">
      <w:start w:val="1"/>
      <w:numFmt w:val="decimal"/>
      <w:pStyle w:val="Titre4"/>
      <w:suff w:val="space"/>
      <w:lvlText w:val="%1.%2.%3.%4 "/>
      <w:lvlJc w:val="left"/>
      <w:pPr>
        <w:tabs>
          <w:tab w:val="num" w:pos="0"/>
        </w:tabs>
        <w:ind w:left="0" w:firstLine="0"/>
      </w:pPr>
      <w:rPr>
        <w:rFonts w:hint="default"/>
      </w:rPr>
    </w:lvl>
    <w:lvl w:ilvl="4">
      <w:start w:val="1"/>
      <w:numFmt w:val="decimal"/>
      <w:pStyle w:val="Titre5"/>
      <w:suff w:val="space"/>
      <w:lvlText w:val="%1.%2.%3.%4.%5 "/>
      <w:lvlJc w:val="left"/>
      <w:pPr>
        <w:tabs>
          <w:tab w:val="num" w:pos="0"/>
        </w:tabs>
        <w:ind w:left="0" w:firstLine="0"/>
      </w:pPr>
      <w:rPr>
        <w:rFonts w:hint="default"/>
      </w:rPr>
    </w:lvl>
    <w:lvl w:ilvl="5">
      <w:start w:val="1"/>
      <w:numFmt w:val="decimal"/>
      <w:pStyle w:val="Titre6"/>
      <w:suff w:val="space"/>
      <w:lvlText w:val="%1.%2.%3.%4.%5.%6 "/>
      <w:lvlJc w:val="left"/>
      <w:pPr>
        <w:tabs>
          <w:tab w:val="num" w:pos="0"/>
        </w:tabs>
        <w:ind w:left="0" w:firstLine="0"/>
      </w:pPr>
      <w:rPr>
        <w:rFonts w:hint="default"/>
      </w:rPr>
    </w:lvl>
    <w:lvl w:ilvl="6">
      <w:start w:val="1"/>
      <w:numFmt w:val="decimal"/>
      <w:pStyle w:val="Titre7"/>
      <w:suff w:val="space"/>
      <w:lvlText w:val="%1.%2.%3.%4.%5.%6.%7 "/>
      <w:lvlJc w:val="left"/>
      <w:pPr>
        <w:tabs>
          <w:tab w:val="num" w:pos="0"/>
        </w:tabs>
        <w:ind w:left="0" w:firstLine="0"/>
      </w:pPr>
      <w:rPr>
        <w:rFonts w:hint="default"/>
      </w:rPr>
    </w:lvl>
    <w:lvl w:ilvl="7">
      <w:start w:val="1"/>
      <w:numFmt w:val="decimal"/>
      <w:pStyle w:val="Titre8"/>
      <w:suff w:val="space"/>
      <w:lvlText w:val="%1.%2.%3.%4.%5.%6.%7.%8 "/>
      <w:lvlJc w:val="left"/>
      <w:pPr>
        <w:tabs>
          <w:tab w:val="num" w:pos="0"/>
        </w:tabs>
        <w:ind w:left="0" w:firstLine="0"/>
      </w:pPr>
      <w:rPr>
        <w:rFonts w:hint="default"/>
      </w:rPr>
    </w:lvl>
    <w:lvl w:ilvl="8">
      <w:start w:val="1"/>
      <w:numFmt w:val="decimal"/>
      <w:pStyle w:val="Titre9"/>
      <w:suff w:val="space"/>
      <w:lvlText w:val="%1.%2.%3.%4.%5.%6.%7.%8.%9 "/>
      <w:lvlJc w:val="left"/>
      <w:pPr>
        <w:tabs>
          <w:tab w:val="num" w:pos="0"/>
        </w:tabs>
        <w:ind w:left="0" w:firstLine="0"/>
      </w:pPr>
      <w:rPr>
        <w:rFonts w:hint="default"/>
      </w:rPr>
    </w:lvl>
  </w:abstractNum>
  <w:abstractNum w:abstractNumId="9"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10"/>
  </w:num>
  <w:num w:numId="4">
    <w:abstractNumId w:val="9"/>
  </w:num>
  <w:num w:numId="5">
    <w:abstractNumId w:val="20"/>
  </w:num>
  <w:num w:numId="6">
    <w:abstractNumId w:val="13"/>
  </w:num>
  <w:num w:numId="7">
    <w:abstractNumId w:val="4"/>
  </w:num>
  <w:num w:numId="8">
    <w:abstractNumId w:val="14"/>
  </w:num>
  <w:num w:numId="9">
    <w:abstractNumId w:val="0"/>
  </w:num>
  <w:num w:numId="10">
    <w:abstractNumId w:val="7"/>
  </w:num>
  <w:num w:numId="11">
    <w:abstractNumId w:val="3"/>
  </w:num>
  <w:num w:numId="12">
    <w:abstractNumId w:val="15"/>
  </w:num>
  <w:num w:numId="13">
    <w:abstractNumId w:val="2"/>
  </w:num>
  <w:num w:numId="14">
    <w:abstractNumId w:val="18"/>
  </w:num>
  <w:num w:numId="15">
    <w:abstractNumId w:val="17"/>
  </w:num>
  <w:num w:numId="16">
    <w:abstractNumId w:val="1"/>
  </w:num>
  <w:num w:numId="17">
    <w:abstractNumId w:val="16"/>
  </w:num>
  <w:num w:numId="18">
    <w:abstractNumId w:val="6"/>
  </w:num>
  <w:num w:numId="19">
    <w:abstractNumId w:val="12"/>
  </w:num>
  <w:num w:numId="20">
    <w:abstractNumId w:val="5"/>
  </w:num>
  <w:num w:numId="21">
    <w:abstractNumId w:val="8"/>
  </w:num>
  <w:num w:numId="22">
    <w:abstractNumId w:val="2"/>
    <w:lvlOverride w:ilvl="0">
      <w:startOverride w:val="1"/>
    </w:lvlOverride>
  </w:num>
  <w:num w:numId="23">
    <w:abstractNumId w:val="2"/>
    <w:lvlOverride w:ilvl="0">
      <w:startOverride w:val="1"/>
    </w:lvlOverride>
  </w:num>
  <w:num w:numId="24">
    <w:abstractNumId w:val="18"/>
    <w:lvlOverride w:ilvl="0">
      <w:startOverride w:val="1"/>
    </w:lvlOverride>
  </w:num>
  <w:num w:numId="25">
    <w:abstractNumId w:val="2"/>
    <w:lvlOverride w:ilvl="0">
      <w:startOverride w:val="1"/>
    </w:lvlOverride>
  </w:num>
  <w:num w:numId="26">
    <w:abstractNumId w:val="18"/>
    <w:lvlOverride w:ilvl="0">
      <w:startOverride w:val="1"/>
    </w:lvlOverride>
  </w:num>
  <w:num w:numId="27">
    <w:abstractNumId w:val="17"/>
    <w:lvlOverride w:ilvl="0">
      <w:startOverride w:val="1"/>
    </w:lvlOverride>
  </w:num>
  <w:num w:numId="2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61742"/>
    <w:rsid w:val="000C10A6"/>
    <w:rsid w:val="000D188F"/>
    <w:rsid w:val="000D6AF3"/>
    <w:rsid w:val="00156E31"/>
    <w:rsid w:val="001811E7"/>
    <w:rsid w:val="001C6CD7"/>
    <w:rsid w:val="001D58D9"/>
    <w:rsid w:val="001D708E"/>
    <w:rsid w:val="001E3DC0"/>
    <w:rsid w:val="00220E22"/>
    <w:rsid w:val="002649F7"/>
    <w:rsid w:val="003179A3"/>
    <w:rsid w:val="0032000A"/>
    <w:rsid w:val="0032369E"/>
    <w:rsid w:val="00346C6E"/>
    <w:rsid w:val="00360009"/>
    <w:rsid w:val="003A3D74"/>
    <w:rsid w:val="003C4B32"/>
    <w:rsid w:val="003C5359"/>
    <w:rsid w:val="003C6B65"/>
    <w:rsid w:val="003D2396"/>
    <w:rsid w:val="004312FC"/>
    <w:rsid w:val="004617C9"/>
    <w:rsid w:val="004740F7"/>
    <w:rsid w:val="00477B6D"/>
    <w:rsid w:val="00492E66"/>
    <w:rsid w:val="004B74AB"/>
    <w:rsid w:val="004C3040"/>
    <w:rsid w:val="004D2917"/>
    <w:rsid w:val="004E01EB"/>
    <w:rsid w:val="00520A4D"/>
    <w:rsid w:val="00524C5B"/>
    <w:rsid w:val="005521AC"/>
    <w:rsid w:val="005530B4"/>
    <w:rsid w:val="00603D1A"/>
    <w:rsid w:val="0062754E"/>
    <w:rsid w:val="006344CD"/>
    <w:rsid w:val="00681162"/>
    <w:rsid w:val="006954A3"/>
    <w:rsid w:val="006A20CD"/>
    <w:rsid w:val="006C5B84"/>
    <w:rsid w:val="006C7E1F"/>
    <w:rsid w:val="006D0718"/>
    <w:rsid w:val="006D49DE"/>
    <w:rsid w:val="006F5666"/>
    <w:rsid w:val="0072773B"/>
    <w:rsid w:val="0077050C"/>
    <w:rsid w:val="00793090"/>
    <w:rsid w:val="007E5F67"/>
    <w:rsid w:val="007F1549"/>
    <w:rsid w:val="0082411F"/>
    <w:rsid w:val="00832015"/>
    <w:rsid w:val="00836344"/>
    <w:rsid w:val="00856AC2"/>
    <w:rsid w:val="00861A9F"/>
    <w:rsid w:val="008702E0"/>
    <w:rsid w:val="00895123"/>
    <w:rsid w:val="008B4F95"/>
    <w:rsid w:val="008E0A5E"/>
    <w:rsid w:val="00905F53"/>
    <w:rsid w:val="00917FE3"/>
    <w:rsid w:val="00967231"/>
    <w:rsid w:val="009734C5"/>
    <w:rsid w:val="009742BA"/>
    <w:rsid w:val="00981F74"/>
    <w:rsid w:val="00992EED"/>
    <w:rsid w:val="00993E81"/>
    <w:rsid w:val="009940B6"/>
    <w:rsid w:val="009B0AF2"/>
    <w:rsid w:val="009D1F5E"/>
    <w:rsid w:val="009F5C0F"/>
    <w:rsid w:val="00A035CF"/>
    <w:rsid w:val="00A25BCB"/>
    <w:rsid w:val="00A44216"/>
    <w:rsid w:val="00A47800"/>
    <w:rsid w:val="00A55290"/>
    <w:rsid w:val="00A85075"/>
    <w:rsid w:val="00AA2DCF"/>
    <w:rsid w:val="00AD05DB"/>
    <w:rsid w:val="00AE0BDF"/>
    <w:rsid w:val="00AE78A9"/>
    <w:rsid w:val="00B03435"/>
    <w:rsid w:val="00B16012"/>
    <w:rsid w:val="00B76E44"/>
    <w:rsid w:val="00BB27DA"/>
    <w:rsid w:val="00BC2230"/>
    <w:rsid w:val="00BC4989"/>
    <w:rsid w:val="00BC6763"/>
    <w:rsid w:val="00BE2E14"/>
    <w:rsid w:val="00C0669B"/>
    <w:rsid w:val="00C10C2E"/>
    <w:rsid w:val="00C1777B"/>
    <w:rsid w:val="00C41BAA"/>
    <w:rsid w:val="00C42062"/>
    <w:rsid w:val="00C517EA"/>
    <w:rsid w:val="00C56A90"/>
    <w:rsid w:val="00C86B97"/>
    <w:rsid w:val="00C93F30"/>
    <w:rsid w:val="00CA505D"/>
    <w:rsid w:val="00CB4396"/>
    <w:rsid w:val="00CB62C3"/>
    <w:rsid w:val="00CB6E64"/>
    <w:rsid w:val="00CE36EC"/>
    <w:rsid w:val="00D20B06"/>
    <w:rsid w:val="00D20DD7"/>
    <w:rsid w:val="00D4583B"/>
    <w:rsid w:val="00D47254"/>
    <w:rsid w:val="00D61AC8"/>
    <w:rsid w:val="00D84A57"/>
    <w:rsid w:val="00D87DE5"/>
    <w:rsid w:val="00D932A4"/>
    <w:rsid w:val="00DA6A7F"/>
    <w:rsid w:val="00DC0487"/>
    <w:rsid w:val="00DC4051"/>
    <w:rsid w:val="00DD3A99"/>
    <w:rsid w:val="00E03B70"/>
    <w:rsid w:val="00E0484A"/>
    <w:rsid w:val="00E5386E"/>
    <w:rsid w:val="00E61EF7"/>
    <w:rsid w:val="00EA3CF1"/>
    <w:rsid w:val="00EB1192"/>
    <w:rsid w:val="00EC0321"/>
    <w:rsid w:val="00ED3E52"/>
    <w:rsid w:val="00EF18CC"/>
    <w:rsid w:val="00EF6FC9"/>
    <w:rsid w:val="00F53189"/>
    <w:rsid w:val="00F62CEB"/>
    <w:rsid w:val="00F70D82"/>
    <w:rsid w:val="00FA0E3B"/>
    <w:rsid w:val="00FB7D08"/>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E472"/>
  <w15:docId w15:val="{7A3FD73C-5638-45F6-A502-033A7858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49"/>
    <w:rPr>
      <w:rFonts w:ascii="Arial" w:hAnsi="Arial"/>
      <w:sz w:val="22"/>
      <w:szCs w:val="22"/>
      <w:lang w:val="en-US"/>
    </w:rPr>
  </w:style>
  <w:style w:type="paragraph" w:styleId="Titre1">
    <w:name w:val="heading 1"/>
    <w:basedOn w:val="Normal"/>
    <w:next w:val="Indent2"/>
    <w:qFormat/>
    <w:rsid w:val="003C5359"/>
    <w:pPr>
      <w:keepNext/>
      <w:numPr>
        <w:numId w:val="21"/>
      </w:numPr>
      <w:spacing w:before="240" w:after="240"/>
      <w:outlineLvl w:val="0"/>
    </w:pPr>
    <w:rPr>
      <w:rFonts w:cs="Arial"/>
      <w:b/>
      <w:bCs/>
    </w:rPr>
  </w:style>
  <w:style w:type="paragraph" w:styleId="Titre2">
    <w:name w:val="heading 2"/>
    <w:basedOn w:val="Normal"/>
    <w:next w:val="Indent2"/>
    <w:qFormat/>
    <w:rsid w:val="003C5359"/>
    <w:pPr>
      <w:keepNext/>
      <w:numPr>
        <w:ilvl w:val="1"/>
        <w:numId w:val="21"/>
      </w:numPr>
      <w:spacing w:before="240" w:after="240"/>
      <w:outlineLvl w:val="1"/>
    </w:pPr>
    <w:rPr>
      <w:rFonts w:cs="Arial"/>
      <w:b/>
      <w:bCs/>
      <w:iCs/>
    </w:rPr>
  </w:style>
  <w:style w:type="paragraph" w:styleId="Titre3">
    <w:name w:val="heading 3"/>
    <w:basedOn w:val="Normal"/>
    <w:next w:val="Indent2"/>
    <w:qFormat/>
    <w:rsid w:val="003C5359"/>
    <w:pPr>
      <w:keepNext/>
      <w:numPr>
        <w:ilvl w:val="2"/>
        <w:numId w:val="21"/>
      </w:numPr>
      <w:spacing w:before="240" w:after="240"/>
      <w:outlineLvl w:val="2"/>
    </w:pPr>
    <w:rPr>
      <w:rFonts w:cs="Arial"/>
      <w:b/>
      <w:bCs/>
    </w:rPr>
  </w:style>
  <w:style w:type="paragraph" w:styleId="Titre4">
    <w:name w:val="heading 4"/>
    <w:basedOn w:val="Normal"/>
    <w:next w:val="Indent2"/>
    <w:qFormat/>
    <w:rsid w:val="003C5359"/>
    <w:pPr>
      <w:keepNext/>
      <w:numPr>
        <w:ilvl w:val="3"/>
        <w:numId w:val="21"/>
      </w:numPr>
      <w:spacing w:before="240" w:after="240"/>
      <w:outlineLvl w:val="3"/>
    </w:pPr>
    <w:rPr>
      <w:b/>
      <w:bCs/>
    </w:rPr>
  </w:style>
  <w:style w:type="paragraph" w:styleId="Titre5">
    <w:name w:val="heading 5"/>
    <w:basedOn w:val="Normal"/>
    <w:next w:val="Indent2"/>
    <w:qFormat/>
    <w:rsid w:val="003C5359"/>
    <w:pPr>
      <w:keepNext/>
      <w:numPr>
        <w:ilvl w:val="4"/>
        <w:numId w:val="21"/>
      </w:numPr>
      <w:spacing w:before="240" w:after="240"/>
      <w:outlineLvl w:val="4"/>
    </w:pPr>
    <w:rPr>
      <w:b/>
      <w:bCs/>
      <w:iCs/>
    </w:rPr>
  </w:style>
  <w:style w:type="paragraph" w:styleId="Titre6">
    <w:name w:val="heading 6"/>
    <w:basedOn w:val="Normal"/>
    <w:next w:val="Indent2"/>
    <w:qFormat/>
    <w:rsid w:val="003C5359"/>
    <w:pPr>
      <w:keepNext/>
      <w:numPr>
        <w:ilvl w:val="5"/>
        <w:numId w:val="21"/>
      </w:numPr>
      <w:spacing w:before="240" w:after="240"/>
      <w:outlineLvl w:val="5"/>
    </w:pPr>
    <w:rPr>
      <w:b/>
      <w:bCs/>
    </w:rPr>
  </w:style>
  <w:style w:type="paragraph" w:styleId="Titre7">
    <w:name w:val="heading 7"/>
    <w:basedOn w:val="Normal"/>
    <w:next w:val="Indent2"/>
    <w:qFormat/>
    <w:rsid w:val="003C5359"/>
    <w:pPr>
      <w:keepNext/>
      <w:numPr>
        <w:ilvl w:val="6"/>
        <w:numId w:val="21"/>
      </w:numPr>
      <w:spacing w:before="240" w:after="240"/>
      <w:outlineLvl w:val="6"/>
    </w:pPr>
    <w:rPr>
      <w:b/>
    </w:rPr>
  </w:style>
  <w:style w:type="paragraph" w:styleId="Titre8">
    <w:name w:val="heading 8"/>
    <w:basedOn w:val="Normal"/>
    <w:next w:val="Indent2"/>
    <w:qFormat/>
    <w:rsid w:val="003C5359"/>
    <w:pPr>
      <w:keepNext/>
      <w:numPr>
        <w:ilvl w:val="7"/>
        <w:numId w:val="21"/>
      </w:numPr>
      <w:spacing w:before="240" w:after="240"/>
      <w:outlineLvl w:val="7"/>
    </w:pPr>
    <w:rPr>
      <w:b/>
      <w:iCs/>
    </w:rPr>
  </w:style>
  <w:style w:type="paragraph" w:styleId="Titre9">
    <w:name w:val="heading 9"/>
    <w:basedOn w:val="Normal"/>
    <w:next w:val="Indent2"/>
    <w:qFormat/>
    <w:rsid w:val="003C5359"/>
    <w:pPr>
      <w:keepNext/>
      <w:numPr>
        <w:ilvl w:val="8"/>
        <w:numId w:val="21"/>
      </w:numPr>
      <w:spacing w:before="240" w:after="240"/>
      <w:outlineLvl w:val="8"/>
    </w:pPr>
    <w:rPr>
      <w:rFonts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F1549"/>
    <w:rPr>
      <w:color w:val="0000FF"/>
      <w:u w:val="single"/>
    </w:rPr>
  </w:style>
  <w:style w:type="paragraph" w:customStyle="1" w:styleId="Indent1">
    <w:name w:val="Indent 1"/>
    <w:basedOn w:val="Normal"/>
    <w:qFormat/>
    <w:rsid w:val="006D49DE"/>
    <w:pPr>
      <w:ind w:left="1304"/>
    </w:pPr>
  </w:style>
  <w:style w:type="paragraph" w:customStyle="1" w:styleId="Indent2">
    <w:name w:val="Indent 2"/>
    <w:basedOn w:val="Normal"/>
    <w:qFormat/>
    <w:rsid w:val="006D49DE"/>
    <w:pPr>
      <w:ind w:left="2608"/>
    </w:pPr>
  </w:style>
  <w:style w:type="paragraph" w:customStyle="1" w:styleId="Sidetitle1">
    <w:name w:val="Sidetitle 1"/>
    <w:basedOn w:val="Normal"/>
    <w:next w:val="Indent1"/>
    <w:qFormat/>
    <w:rsid w:val="004740F7"/>
    <w:pPr>
      <w:ind w:left="1304" w:hanging="1304"/>
    </w:pPr>
  </w:style>
  <w:style w:type="paragraph" w:customStyle="1" w:styleId="Sidetitle2">
    <w:name w:val="Sidetitle 2"/>
    <w:basedOn w:val="Normal"/>
    <w:next w:val="Indent2"/>
    <w:qFormat/>
    <w:rsid w:val="004740F7"/>
    <w:pPr>
      <w:ind w:left="2608" w:hanging="2608"/>
    </w:pPr>
  </w:style>
  <w:style w:type="paragraph" w:styleId="Pieddepage">
    <w:name w:val="footer"/>
    <w:basedOn w:val="Normal"/>
    <w:link w:val="PieddepageCar"/>
    <w:rsid w:val="00C93F30"/>
    <w:rPr>
      <w:sz w:val="14"/>
    </w:rPr>
  </w:style>
  <w:style w:type="paragraph" w:styleId="En-tte">
    <w:name w:val="header"/>
    <w:basedOn w:val="Normal"/>
    <w:rsid w:val="00C93F30"/>
    <w:rPr>
      <w:sz w:val="18"/>
    </w:rPr>
  </w:style>
  <w:style w:type="paragraph" w:customStyle="1" w:styleId="HeadingMain">
    <w:name w:val="HeadingMain"/>
    <w:basedOn w:val="Normal"/>
    <w:rsid w:val="00681162"/>
    <w:pPr>
      <w:spacing w:after="240"/>
    </w:pPr>
    <w:rPr>
      <w:b/>
      <w:sz w:val="46"/>
    </w:rPr>
  </w:style>
  <w:style w:type="paragraph" w:customStyle="1" w:styleId="Abc">
    <w:name w:val="Abc"/>
    <w:basedOn w:val="Normal"/>
    <w:qFormat/>
    <w:pPr>
      <w:numPr>
        <w:numId w:val="1"/>
      </w:numPr>
    </w:pPr>
  </w:style>
  <w:style w:type="paragraph" w:customStyle="1" w:styleId="Abc1">
    <w:name w:val="Abc 1"/>
    <w:basedOn w:val="Normal"/>
    <w:qFormat/>
    <w:rsid w:val="006D49DE"/>
    <w:pPr>
      <w:numPr>
        <w:numId w:val="3"/>
      </w:numPr>
    </w:pPr>
  </w:style>
  <w:style w:type="paragraph" w:customStyle="1" w:styleId="Abc2">
    <w:name w:val="Abc 2"/>
    <w:basedOn w:val="Normal"/>
    <w:qFormat/>
    <w:rsid w:val="006D49DE"/>
    <w:pPr>
      <w:numPr>
        <w:numId w:val="4"/>
      </w:numPr>
    </w:pPr>
  </w:style>
  <w:style w:type="paragraph" w:customStyle="1" w:styleId="Numbered1">
    <w:name w:val="Numbered 1"/>
    <w:basedOn w:val="Normal"/>
    <w:qFormat/>
    <w:rsid w:val="004740F7"/>
    <w:pPr>
      <w:numPr>
        <w:numId w:val="11"/>
      </w:numPr>
    </w:pPr>
  </w:style>
  <w:style w:type="paragraph" w:customStyle="1" w:styleId="Numbered">
    <w:name w:val="Numbered"/>
    <w:basedOn w:val="Normal"/>
    <w:qFormat/>
    <w:pPr>
      <w:numPr>
        <w:numId w:val="10"/>
      </w:numPr>
    </w:pPr>
  </w:style>
  <w:style w:type="paragraph" w:customStyle="1" w:styleId="Numbered2">
    <w:name w:val="Numbered 2"/>
    <w:basedOn w:val="Normal"/>
    <w:qFormat/>
    <w:rsid w:val="004740F7"/>
    <w:pPr>
      <w:numPr>
        <w:numId w:val="12"/>
      </w:numPr>
    </w:pPr>
  </w:style>
  <w:style w:type="paragraph" w:customStyle="1" w:styleId="Bulleted">
    <w:name w:val="Bulleted"/>
    <w:basedOn w:val="Normal"/>
    <w:qFormat/>
    <w:pPr>
      <w:numPr>
        <w:numId w:val="13"/>
      </w:numPr>
    </w:pPr>
  </w:style>
  <w:style w:type="paragraph" w:customStyle="1" w:styleId="Bulleted1">
    <w:name w:val="Bulleted 1"/>
    <w:basedOn w:val="Normal"/>
    <w:qFormat/>
    <w:rsid w:val="006D49DE"/>
    <w:pPr>
      <w:numPr>
        <w:numId w:val="14"/>
      </w:numPr>
    </w:pPr>
  </w:style>
  <w:style w:type="paragraph" w:customStyle="1" w:styleId="Bulleted2">
    <w:name w:val="Bulleted 2"/>
    <w:basedOn w:val="Normal"/>
    <w:qFormat/>
    <w:rsid w:val="006D49DE"/>
    <w:pPr>
      <w:numPr>
        <w:numId w:val="15"/>
      </w:numPr>
    </w:pPr>
  </w:style>
  <w:style w:type="paragraph" w:styleId="TM1">
    <w:name w:val="toc 1"/>
    <w:basedOn w:val="Normal"/>
    <w:next w:val="Normal"/>
    <w:semiHidden/>
  </w:style>
  <w:style w:type="paragraph" w:styleId="TM2">
    <w:name w:val="toc 2"/>
    <w:basedOn w:val="Normal"/>
    <w:next w:val="Normal"/>
    <w:semiHidden/>
    <w:pPr>
      <w:ind w:left="220"/>
    </w:pPr>
  </w:style>
  <w:style w:type="paragraph" w:styleId="TM3">
    <w:name w:val="toc 3"/>
    <w:basedOn w:val="Normal"/>
    <w:next w:val="Normal"/>
    <w:semiHidden/>
    <w:pPr>
      <w:ind w:left="440"/>
    </w:pPr>
  </w:style>
  <w:style w:type="table" w:styleId="Grilledutableau">
    <w:name w:val="Table Grid"/>
    <w:basedOn w:val="TableauNormal"/>
    <w:rsid w:val="00DC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D1F5E"/>
    <w:rPr>
      <w:rFonts w:ascii="Tahoma" w:hAnsi="Tahoma" w:cs="Tahoma"/>
      <w:sz w:val="16"/>
      <w:szCs w:val="16"/>
    </w:rPr>
  </w:style>
  <w:style w:type="character" w:customStyle="1" w:styleId="TextedebullesCar">
    <w:name w:val="Texte de bulles Car"/>
    <w:basedOn w:val="Policepardfaut"/>
    <w:link w:val="Textedebulles"/>
    <w:rsid w:val="009D1F5E"/>
    <w:rPr>
      <w:rFonts w:ascii="Tahoma" w:hAnsi="Tahoma" w:cs="Tahoma"/>
      <w:sz w:val="16"/>
      <w:szCs w:val="16"/>
      <w:lang w:val="en-US"/>
    </w:rPr>
  </w:style>
  <w:style w:type="character" w:customStyle="1" w:styleId="PieddepageCar">
    <w:name w:val="Pied de page Car"/>
    <w:basedOn w:val="Policepardfaut"/>
    <w:link w:val="Pieddepage"/>
    <w:rsid w:val="00992EED"/>
    <w:rPr>
      <w:rFonts w:ascii="Arial" w:hAnsi="Arial"/>
      <w:sz w:val="14"/>
      <w:szCs w:val="22"/>
      <w:lang w:val="en-US"/>
    </w:rPr>
  </w:style>
  <w:style w:type="paragraph" w:customStyle="1" w:styleId="BodyText1Paragraph">
    <w:name w:val="+ Body Text 1. Paragraph"/>
    <w:basedOn w:val="Normal"/>
    <w:next w:val="BodyText"/>
    <w:qFormat/>
    <w:rsid w:val="00061742"/>
    <w:pPr>
      <w:spacing w:line="308" w:lineRule="atLeast"/>
      <w:jc w:val="both"/>
    </w:pPr>
    <w:rPr>
      <w:rFonts w:ascii="Georgia" w:eastAsiaTheme="minorHAnsi" w:hAnsi="Georgia" w:cstheme="minorHAnsi"/>
      <w:lang w:val="en-GB" w:eastAsia="en-US"/>
    </w:rPr>
  </w:style>
  <w:style w:type="paragraph" w:customStyle="1" w:styleId="BodyText">
    <w:name w:val="+ Body Text"/>
    <w:basedOn w:val="BodyText1Paragraph"/>
    <w:qFormat/>
    <w:rsid w:val="00061742"/>
    <w:pPr>
      <w:ind w:firstLine="170"/>
    </w:pPr>
  </w:style>
  <w:style w:type="paragraph" w:customStyle="1" w:styleId="Heading1Unnumbered">
    <w:name w:val="+ Heading 1 Unnumbered"/>
    <w:next w:val="BodyText1Paragraph"/>
    <w:qFormat/>
    <w:rsid w:val="00061742"/>
    <w:pPr>
      <w:spacing w:before="480" w:after="2400"/>
    </w:pPr>
    <w:rPr>
      <w:rFonts w:ascii="Arial" w:eastAsia="SimSun" w:hAnsi="Arial"/>
      <w:b/>
      <w:color w:val="000000" w:themeColor="text1"/>
      <w:sz w:val="40"/>
      <w:szCs w:val="24"/>
      <w:lang w:val="en-GB" w:eastAsia="zh-CN"/>
    </w:rPr>
  </w:style>
  <w:style w:type="paragraph" w:styleId="Notedebasdepage">
    <w:name w:val="footnote text"/>
    <w:basedOn w:val="Normal"/>
    <w:link w:val="NotedebasdepageCar"/>
    <w:semiHidden/>
    <w:unhideWhenUsed/>
    <w:rsid w:val="00AE0BDF"/>
    <w:rPr>
      <w:sz w:val="20"/>
      <w:szCs w:val="20"/>
    </w:rPr>
  </w:style>
  <w:style w:type="character" w:customStyle="1" w:styleId="NotedebasdepageCar">
    <w:name w:val="Note de bas de page Car"/>
    <w:basedOn w:val="Policepardfaut"/>
    <w:link w:val="Notedebasdepage"/>
    <w:semiHidden/>
    <w:rsid w:val="00AE0BDF"/>
    <w:rPr>
      <w:rFonts w:ascii="Arial" w:hAnsi="Arial"/>
      <w:lang w:val="en-US"/>
    </w:rPr>
  </w:style>
  <w:style w:type="character" w:styleId="Appelnotedebasdep">
    <w:name w:val="footnote reference"/>
    <w:basedOn w:val="Policepardfaut"/>
    <w:semiHidden/>
    <w:unhideWhenUsed/>
    <w:rsid w:val="00AE0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1032341281">
      <w:bodyDiv w:val="1"/>
      <w:marLeft w:val="0"/>
      <w:marRight w:val="0"/>
      <w:marTop w:val="0"/>
      <w:marBottom w:val="0"/>
      <w:divBdr>
        <w:top w:val="none" w:sz="0" w:space="0" w:color="auto"/>
        <w:left w:val="none" w:sz="0" w:space="0" w:color="auto"/>
        <w:bottom w:val="none" w:sz="0" w:space="0" w:color="auto"/>
        <w:right w:val="none" w:sz="0" w:space="0" w:color="auto"/>
      </w:divBdr>
    </w:div>
    <w:div w:id="20369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mailto:pauline.gauthier@cerema.fr" TargetMode="External"/><Relationship Id="rId1" Type="http://schemas.openxmlformats.org/officeDocument/2006/relationships/hyperlink" Target="mailto:marion.ailloud@cerema.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verma.AALTO.033\AppData\Local\Microsoft\Windows\Temporary%20Internet%20Files\Content.Outlook\SQJ3VMR8\Aalto_ARTS_kirje_ENG.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E3F14-A3B7-4BFC-9106-31BF7819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Aalto_ARTS_kirje_ENG</Template>
  <TotalTime>10</TotalTime>
  <Pages>2</Pages>
  <Words>335</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grow.</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Verma Ira</dc:creator>
  <cp:lastModifiedBy>Mme Marion AILLOUD</cp:lastModifiedBy>
  <cp:revision>5</cp:revision>
  <cp:lastPrinted>2010-02-11T13:05:00Z</cp:lastPrinted>
  <dcterms:created xsi:type="dcterms:W3CDTF">2021-02-16T08:52:00Z</dcterms:created>
  <dcterms:modified xsi:type="dcterms:W3CDTF">2021-03-16T14:05:00Z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003</vt:lpwstr>
  </property>
</Properties>
</file>